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8D" w:rsidRDefault="00132AC2">
      <w:pPr>
        <w:rPr>
          <w:rFonts w:ascii="Microsoft YaHei" w:eastAsia="Microsoft YaHei" w:hAnsi="Microsoft YaHei" w:cs="Microsoft YaHei"/>
          <w:color w:val="808080" w:themeColor="background1" w:themeShade="80"/>
          <w:sz w:val="20"/>
        </w:rPr>
      </w:pPr>
      <w:bookmarkStart w:id="0" w:name="_GoBack"/>
      <w:bookmarkEnd w:id="0"/>
      <w:r>
        <w:rPr>
          <w:rFonts w:eastAsia="SimSun" w:hint="eastAsia"/>
          <w:sz w:val="20"/>
          <w:lang w:eastAsia="zh-CN"/>
        </w:rPr>
        <w:t xml:space="preserve">                                         </w:t>
      </w:r>
      <w:r>
        <w:rPr>
          <w:rFonts w:ascii="Microsoft YaHei" w:eastAsia="Microsoft YaHei" w:hAnsi="Microsoft YaHei" w:cs="Microsoft YaHei" w:hint="eastAsia"/>
          <w:color w:val="808080" w:themeColor="background1" w:themeShade="80"/>
          <w:sz w:val="20"/>
          <w:lang w:eastAsia="zh-CN"/>
        </w:rPr>
        <w:t xml:space="preserve"> </w:t>
      </w:r>
    </w:p>
    <w:p w:rsidR="00072E8D" w:rsidRDefault="00072E8D">
      <w:pPr>
        <w:rPr>
          <w:sz w:val="20"/>
        </w:rPr>
      </w:pPr>
    </w:p>
    <w:p w:rsidR="00072E8D" w:rsidRDefault="00072E8D">
      <w:pPr>
        <w:rPr>
          <w:sz w:val="20"/>
        </w:rPr>
      </w:pPr>
    </w:p>
    <w:p w:rsidR="00072E8D" w:rsidRDefault="00072E8D" w:rsidP="0055405A">
      <w:pPr>
        <w:ind w:firstLineChars="1400" w:firstLine="4174"/>
        <w:rPr>
          <w:rFonts w:eastAsia="SimSun"/>
          <w:b/>
          <w:spacing w:val="-3"/>
          <w:sz w:val="30"/>
          <w:lang w:eastAsia="zh-CN"/>
        </w:rPr>
      </w:pPr>
    </w:p>
    <w:p w:rsidR="00072E8D" w:rsidRDefault="00072E8D" w:rsidP="0055405A">
      <w:pPr>
        <w:ind w:firstLineChars="1700" w:firstLine="5049"/>
        <w:rPr>
          <w:rFonts w:ascii="Microsoft YaHei" w:eastAsia="Microsoft YaHei" w:hAnsi="Microsoft YaHei" w:cs="Microsoft YaHei"/>
          <w:b/>
          <w:color w:val="808080" w:themeColor="background1" w:themeShade="80"/>
          <w:spacing w:val="-3"/>
          <w:sz w:val="30"/>
          <w:lang w:eastAsia="zh-CN"/>
        </w:rPr>
      </w:pPr>
    </w:p>
    <w:p w:rsidR="00072E8D" w:rsidRDefault="00132AC2">
      <w:pPr>
        <w:jc w:val="center"/>
        <w:rPr>
          <w:sz w:val="20"/>
        </w:rPr>
      </w:pPr>
      <w:r>
        <w:rPr>
          <w:rFonts w:ascii="Microsoft YaHei" w:eastAsia="Microsoft YaHei" w:hAnsi="Microsoft YaHei" w:cs="Microsoft YaHei" w:hint="eastAsia"/>
          <w:b/>
          <w:color w:val="808080" w:themeColor="background1" w:themeShade="80"/>
          <w:spacing w:val="-3"/>
          <w:sz w:val="30"/>
          <w:lang w:eastAsia="zh-CN"/>
        </w:rPr>
        <w:t>LH8800</w:t>
      </w:r>
      <w:r>
        <w:rPr>
          <w:rFonts w:ascii="Microsoft YaHei" w:eastAsia="Microsoft YaHei" w:hAnsi="Microsoft YaHei" w:cs="Microsoft YaHei" w:hint="eastAsia"/>
          <w:b/>
          <w:color w:val="808080" w:themeColor="background1" w:themeShade="80"/>
          <w:spacing w:val="-3"/>
          <w:sz w:val="30"/>
          <w:lang w:eastAsia="zh-CN"/>
        </w:rPr>
        <w:t xml:space="preserve">   Ventilator</w:t>
      </w:r>
    </w:p>
    <w:p w:rsidR="00072E8D" w:rsidRDefault="00132AC2">
      <w:pPr>
        <w:rPr>
          <w:sz w:val="20"/>
        </w:rPr>
      </w:pPr>
      <w:r>
        <w:rPr>
          <w:rFonts w:eastAsia="SimSun" w:hint="eastAsia"/>
          <w:sz w:val="20"/>
          <w:lang w:eastAsia="zh-CN"/>
        </w:rPr>
        <w:t xml:space="preserve"> </w:t>
      </w:r>
    </w:p>
    <w:p w:rsidR="00072E8D" w:rsidRDefault="00072E8D">
      <w:pPr>
        <w:rPr>
          <w:sz w:val="20"/>
        </w:rPr>
      </w:pPr>
    </w:p>
    <w:p w:rsidR="00072E8D" w:rsidRDefault="00072E8D">
      <w:pPr>
        <w:ind w:left="2766"/>
        <w:rPr>
          <w:sz w:val="20"/>
        </w:rPr>
      </w:pPr>
    </w:p>
    <w:p w:rsidR="00072E8D" w:rsidRDefault="00132AC2">
      <w:pPr>
        <w:jc w:val="center"/>
        <w:rPr>
          <w:sz w:val="20"/>
        </w:rPr>
      </w:pPr>
      <w:r>
        <w:rPr>
          <w:noProof/>
          <w:sz w:val="20"/>
          <w:lang w:val="lv-LV" w:eastAsia="lv-LV" w:bidi="ar-SA"/>
        </w:rPr>
        <w:drawing>
          <wp:inline distT="0" distB="0" distL="0" distR="0">
            <wp:extent cx="3185160" cy="6169025"/>
            <wp:effectExtent l="0" t="0" r="15240" b="317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494" cy="616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8D" w:rsidRDefault="00072E8D">
      <w:pPr>
        <w:rPr>
          <w:sz w:val="20"/>
        </w:rPr>
      </w:pPr>
    </w:p>
    <w:p w:rsidR="00072E8D" w:rsidRDefault="00072E8D">
      <w:pPr>
        <w:rPr>
          <w:sz w:val="20"/>
        </w:rPr>
      </w:pPr>
    </w:p>
    <w:p w:rsidR="00072E8D" w:rsidRDefault="00072E8D">
      <w:pPr>
        <w:rPr>
          <w:sz w:val="20"/>
        </w:rPr>
      </w:pPr>
    </w:p>
    <w:p w:rsidR="00072E8D" w:rsidRDefault="00072E8D">
      <w:pPr>
        <w:rPr>
          <w:sz w:val="20"/>
        </w:rPr>
      </w:pPr>
    </w:p>
    <w:p w:rsidR="00072E8D" w:rsidRDefault="00072E8D">
      <w:pPr>
        <w:rPr>
          <w:sz w:val="20"/>
        </w:rPr>
      </w:pPr>
    </w:p>
    <w:p w:rsidR="00072E8D" w:rsidRDefault="00072E8D">
      <w:pPr>
        <w:rPr>
          <w:sz w:val="20"/>
        </w:rPr>
      </w:pPr>
    </w:p>
    <w:p w:rsidR="00072E8D" w:rsidRDefault="00072E8D">
      <w:pPr>
        <w:rPr>
          <w:sz w:val="20"/>
        </w:rPr>
      </w:pPr>
    </w:p>
    <w:p w:rsidR="00072E8D" w:rsidRDefault="00072E8D">
      <w:pPr>
        <w:rPr>
          <w:sz w:val="20"/>
        </w:rPr>
      </w:pPr>
    </w:p>
    <w:p w:rsidR="00072E8D" w:rsidRDefault="00072E8D">
      <w:pPr>
        <w:rPr>
          <w:sz w:val="20"/>
        </w:rPr>
      </w:pPr>
    </w:p>
    <w:p w:rsidR="00072E8D" w:rsidRDefault="00132AC2">
      <w:pPr>
        <w:ind w:firstLineChars="200" w:firstLine="560"/>
        <w:rPr>
          <w:color w:val="808080" w:themeColor="background1" w:themeShade="80"/>
          <w:sz w:val="20"/>
        </w:rPr>
      </w:pPr>
      <w:proofErr w:type="gramStart"/>
      <w:r>
        <w:rPr>
          <w:rFonts w:ascii="Microsoft YaHei" w:eastAsia="Microsoft YaHei" w:hAnsi="Microsoft YaHei" w:cs="Microsoft YaHei" w:hint="eastAsia"/>
          <w:b/>
          <w:bCs/>
          <w:color w:val="808080" w:themeColor="background1" w:themeShade="80"/>
          <w:sz w:val="28"/>
          <w:szCs w:val="28"/>
          <w:lang w:eastAsia="zh-CN"/>
        </w:rPr>
        <w:t>specific</w:t>
      </w:r>
      <w:proofErr w:type="gramEnd"/>
    </w:p>
    <w:p w:rsidR="00072E8D" w:rsidRDefault="00072E8D">
      <w:pPr>
        <w:rPr>
          <w:sz w:val="20"/>
        </w:rPr>
      </w:pPr>
    </w:p>
    <w:tbl>
      <w:tblPr>
        <w:tblStyle w:val="TableGrid"/>
        <w:tblW w:w="10230" w:type="dxa"/>
        <w:tblInd w:w="465" w:type="dxa"/>
        <w:tblLayout w:type="fixed"/>
        <w:tblLook w:val="04A0" w:firstRow="1" w:lastRow="0" w:firstColumn="1" w:lastColumn="0" w:noHBand="0" w:noVBand="1"/>
      </w:tblPr>
      <w:tblGrid>
        <w:gridCol w:w="2823"/>
        <w:gridCol w:w="7407"/>
      </w:tblGrid>
      <w:tr w:rsidR="00072E8D">
        <w:trPr>
          <w:trHeight w:val="340"/>
        </w:trPr>
        <w:tc>
          <w:tcPr>
            <w:tcW w:w="2823" w:type="dxa"/>
            <w:vAlign w:val="center"/>
          </w:tcPr>
          <w:p w:rsidR="00072E8D" w:rsidRDefault="00132AC2">
            <w:pPr>
              <w:jc w:val="center"/>
              <w:rPr>
                <w:rFonts w:ascii="Microsoft YaHei" w:eastAsia="Microsoft YaHei" w:hAnsi="Microsoft YaHei" w:cs="Microsoft YaHei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808080" w:themeColor="background1" w:themeShade="80"/>
                <w:sz w:val="24"/>
                <w:szCs w:val="24"/>
              </w:rPr>
              <w:t>Model</w:t>
            </w:r>
          </w:p>
        </w:tc>
        <w:tc>
          <w:tcPr>
            <w:tcW w:w="7407" w:type="dxa"/>
            <w:vAlign w:val="center"/>
          </w:tcPr>
          <w:p w:rsidR="00072E8D" w:rsidRDefault="00132AC2">
            <w:pPr>
              <w:jc w:val="center"/>
              <w:rPr>
                <w:rFonts w:ascii="Microsoft YaHei" w:eastAsia="Microsoft YaHei" w:hAnsi="Microsoft YaHei" w:cs="Microsoft YaHei"/>
                <w:b/>
                <w:bCs/>
                <w:color w:val="808080" w:themeColor="background1" w:themeShade="80"/>
                <w:sz w:val="24"/>
                <w:szCs w:val="24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808080" w:themeColor="background1" w:themeShade="80"/>
                <w:sz w:val="24"/>
                <w:szCs w:val="24"/>
                <w:lang w:eastAsia="zh-CN"/>
              </w:rPr>
              <w:t>LH8800</w:t>
            </w:r>
          </w:p>
        </w:tc>
      </w:tr>
      <w:tr w:rsidR="00072E8D">
        <w:trPr>
          <w:trHeight w:val="340"/>
        </w:trPr>
        <w:tc>
          <w:tcPr>
            <w:tcW w:w="2823" w:type="dxa"/>
            <w:vAlign w:val="center"/>
          </w:tcPr>
          <w:p w:rsidR="00072E8D" w:rsidRDefault="00132AC2">
            <w:pPr>
              <w:jc w:val="center"/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Ddiplay</w:t>
            </w:r>
            <w:proofErr w:type="spellEnd"/>
          </w:p>
        </w:tc>
        <w:tc>
          <w:tcPr>
            <w:tcW w:w="7407" w:type="dxa"/>
            <w:vAlign w:val="center"/>
          </w:tcPr>
          <w:p w:rsidR="00072E8D" w:rsidRDefault="00132AC2">
            <w:pPr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sz w:val="18"/>
                <w:szCs w:val="18"/>
                <w:lang w:eastAsia="zh-CN"/>
              </w:rPr>
              <w:t>10.4</w:t>
            </w:r>
            <w:r>
              <w:rPr>
                <w:rFonts w:ascii="Microsoft YaHei" w:eastAsia="Microsoft YaHei" w:hAnsi="Microsoft YaHei" w:cs="Microsoft YaHei" w:hint="eastAsia"/>
                <w:bCs/>
                <w:sz w:val="18"/>
                <w:szCs w:val="18"/>
                <w:lang w:eastAsia="zh-CN"/>
              </w:rPr>
              <w:t>”</w:t>
            </w:r>
            <w:r>
              <w:rPr>
                <w:rFonts w:ascii="Microsoft YaHei" w:eastAsia="Microsoft YaHei" w:hAnsi="Microsoft YaHei" w:cs="Microsoft YaHei" w:hint="eastAsia"/>
                <w:bCs/>
                <w:sz w:val="18"/>
                <w:szCs w:val="18"/>
                <w:lang w:eastAsia="zh-CN"/>
              </w:rPr>
              <w:t>LCD   screen</w:t>
            </w:r>
          </w:p>
        </w:tc>
      </w:tr>
      <w:tr w:rsidR="00072E8D">
        <w:trPr>
          <w:trHeight w:val="340"/>
        </w:trPr>
        <w:tc>
          <w:tcPr>
            <w:tcW w:w="2823" w:type="dxa"/>
            <w:vAlign w:val="center"/>
          </w:tcPr>
          <w:p w:rsidR="00072E8D" w:rsidRDefault="00132AC2">
            <w:pPr>
              <w:pStyle w:val="TableParagraph"/>
              <w:spacing w:before="67"/>
              <w:ind w:left="73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Ventilation Mode</w:t>
            </w:r>
          </w:p>
        </w:tc>
        <w:tc>
          <w:tcPr>
            <w:tcW w:w="7407" w:type="dxa"/>
            <w:vAlign w:val="center"/>
          </w:tcPr>
          <w:p w:rsidR="00072E8D" w:rsidRDefault="00132AC2">
            <w:pPr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VCV/IPPV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PCV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SIMV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PSV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CPAP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BIPAP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SIGH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PEEP</w:t>
            </w:r>
          </w:p>
        </w:tc>
      </w:tr>
      <w:tr w:rsidR="00072E8D">
        <w:trPr>
          <w:trHeight w:val="340"/>
        </w:trPr>
        <w:tc>
          <w:tcPr>
            <w:tcW w:w="2823" w:type="dxa"/>
            <w:vMerge w:val="restart"/>
            <w:vAlign w:val="center"/>
          </w:tcPr>
          <w:p w:rsidR="00072E8D" w:rsidRDefault="00132AC2">
            <w:pPr>
              <w:pStyle w:val="TableParagraph"/>
              <w:ind w:left="75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Gas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 xml:space="preserve"> Source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7"/>
              <w:ind w:left="1202" w:right="1175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O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vertAlign w:val="subscript"/>
                <w:lang w:eastAsia="zh-CN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: 280Kpa-500Kpa</w:t>
            </w:r>
          </w:p>
        </w:tc>
      </w:tr>
      <w:tr w:rsidR="00072E8D">
        <w:trPr>
          <w:trHeight w:val="340"/>
        </w:trPr>
        <w:tc>
          <w:tcPr>
            <w:tcW w:w="2823" w:type="dxa"/>
            <w:vMerge/>
            <w:vAlign w:val="center"/>
          </w:tcPr>
          <w:p w:rsidR="00072E8D" w:rsidRDefault="00072E8D">
            <w:pPr>
              <w:pStyle w:val="TableParagraph"/>
              <w:ind w:left="75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</w:pP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7"/>
              <w:ind w:left="1202" w:right="1175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Air:280Kpa-500Kpa</w:t>
            </w:r>
          </w:p>
        </w:tc>
      </w:tr>
      <w:tr w:rsidR="00072E8D">
        <w:trPr>
          <w:trHeight w:val="340"/>
        </w:trPr>
        <w:tc>
          <w:tcPr>
            <w:tcW w:w="2823" w:type="dxa"/>
            <w:vAlign w:val="center"/>
          </w:tcPr>
          <w:p w:rsidR="00072E8D" w:rsidRDefault="00132AC2">
            <w:pPr>
              <w:pStyle w:val="TableParagraph"/>
              <w:ind w:left="75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Power Source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7"/>
              <w:ind w:left="1202" w:right="1175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AC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100V-240V   50/60Hz</w:t>
            </w:r>
          </w:p>
        </w:tc>
      </w:tr>
      <w:tr w:rsidR="00072E8D">
        <w:trPr>
          <w:trHeight w:val="340"/>
        </w:trPr>
        <w:tc>
          <w:tcPr>
            <w:tcW w:w="2823" w:type="dxa"/>
            <w:vAlign w:val="center"/>
          </w:tcPr>
          <w:p w:rsidR="00072E8D" w:rsidRDefault="00132AC2">
            <w:pPr>
              <w:pStyle w:val="TableParagraph"/>
              <w:ind w:left="75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Features</w:t>
            </w:r>
          </w:p>
          <w:p w:rsidR="00072E8D" w:rsidRDefault="00072E8D">
            <w:pPr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</w:p>
        </w:tc>
        <w:tc>
          <w:tcPr>
            <w:tcW w:w="7407" w:type="dxa"/>
            <w:vAlign w:val="center"/>
          </w:tcPr>
          <w:p w:rsidR="00072E8D" w:rsidRDefault="00132AC2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67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Gas - Electricity separation design ensures safe</w:t>
            </w:r>
            <w:r>
              <w:rPr>
                <w:rFonts w:ascii="Microsoft YaHei" w:eastAsia="Microsoft YaHei" w:hAnsi="Microsoft YaHei" w:cs="Microsoft YaHei" w:hint="eastAs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operation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;</w:t>
            </w:r>
          </w:p>
          <w:p w:rsidR="00072E8D" w:rsidRDefault="00132AC2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05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Wide application to adults,</w:t>
            </w:r>
            <w:r>
              <w:rPr>
                <w:rFonts w:ascii="Microsoft YaHei" w:eastAsia="Microsoft YaHei" w:hAnsi="Microsoft YaHei" w:cs="Microsoft YaHei" w:hint="eastAs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children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;</w:t>
            </w:r>
          </w:p>
          <w:p w:rsidR="00072E8D" w:rsidRDefault="00132AC2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05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 xml:space="preserve">Exhalation valve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can be disassembled and disinfected, which avoids</w:t>
            </w:r>
            <w:r>
              <w:rPr>
                <w:rFonts w:ascii="Microsoft YaHei" w:eastAsia="Microsoft YaHei" w:hAnsi="Microsoft YaHei" w:cs="Microsoft YaHei" w:hint="eastAsi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cross-infection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;</w:t>
            </w:r>
          </w:p>
          <w:p w:rsidR="00072E8D" w:rsidRDefault="00132AC2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105"/>
              <w:jc w:val="both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Seamless switching of invasive and non-invasive ventilation</w:t>
            </w:r>
            <w:r>
              <w:rPr>
                <w:rFonts w:ascii="Microsoft YaHei" w:eastAsia="Microsoft YaHei" w:hAnsi="Microsoft YaHei" w:cs="Microsoft YaHei" w:hint="eastAs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mode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;</w:t>
            </w:r>
          </w:p>
          <w:p w:rsidR="00072E8D" w:rsidRDefault="00132AC2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105"/>
              <w:ind w:right="137"/>
              <w:jc w:val="both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High</w:t>
            </w:r>
            <w:r>
              <w:rPr>
                <w:rFonts w:ascii="Microsoft YaHei" w:eastAsia="Microsoft YaHei" w:hAnsi="Microsoft YaHei" w:cs="Microsoft YaHei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integrated</w:t>
            </w:r>
            <w:r>
              <w:rPr>
                <w:rFonts w:ascii="Microsoft YaHei" w:eastAsia="Microsoft YaHei" w:hAnsi="Microsoft YaHei" w:cs="Microsoft YaHei" w:hint="eastAs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modular</w:t>
            </w:r>
            <w:r>
              <w:rPr>
                <w:rFonts w:ascii="Microsoft YaHei" w:eastAsia="Microsoft YaHei" w:hAnsi="Microsoft YaHei" w:cs="Microsoft YaHei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design</w:t>
            </w:r>
            <w:r>
              <w:rPr>
                <w:rFonts w:ascii="Microsoft YaHei" w:eastAsia="Microsoft YaHei" w:hAnsi="Microsoft YaHei" w:cs="Microsoft YaHei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of</w:t>
            </w:r>
            <w:r>
              <w:rPr>
                <w:rFonts w:ascii="Microsoft YaHei" w:eastAsia="Microsoft YaHei" w:hAnsi="Microsoft YaHei" w:cs="Microsoft YaHei" w:hint="eastAs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the</w:t>
            </w:r>
            <w:r>
              <w:rPr>
                <w:rFonts w:ascii="Microsoft YaHei" w:eastAsia="Microsoft YaHei" w:hAnsi="Microsoft YaHei" w:cs="Microsoft YaHei" w:hint="eastAs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gas circuit</w:t>
            </w:r>
            <w:r>
              <w:rPr>
                <w:rFonts w:ascii="Microsoft YaHei" w:eastAsia="Microsoft YaHei" w:hAnsi="Microsoft YaHei" w:cs="Microsoft YaHei" w:hint="eastAs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greatly</w:t>
            </w:r>
            <w:r>
              <w:rPr>
                <w:rFonts w:ascii="Microsoft YaHei" w:eastAsia="Microsoft YaHei" w:hAnsi="Microsoft YaHei" w:cs="Microsoft YaHei" w:hint="eastAs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reduces</w:t>
            </w:r>
            <w:r>
              <w:rPr>
                <w:rFonts w:ascii="Microsoft YaHei" w:eastAsia="Microsoft YaHei" w:hAnsi="Microsoft YaHei" w:cs="Microsoft YaHei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gas leakage</w:t>
            </w:r>
            <w:r>
              <w:rPr>
                <w:rFonts w:ascii="Microsoft YaHei" w:eastAsia="Microsoft YaHei" w:hAnsi="Microsoft YaHei" w:cs="Microsoft YaHei" w:hint="eastAs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,</w:t>
            </w:r>
            <w:r>
              <w:rPr>
                <w:rFonts w:ascii="Microsoft YaHei" w:eastAsia="Microsoft YaHei" w:hAnsi="Microsoft YaHei" w:cs="Microsoft YaHei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gas</w:t>
            </w:r>
            <w:r>
              <w:rPr>
                <w:rFonts w:ascii="Microsoft YaHei" w:eastAsia="Microsoft YaHei" w:hAnsi="Microsoft YaHei" w:cs="Microsoft YaHei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loss</w:t>
            </w:r>
            <w:r>
              <w:rPr>
                <w:rFonts w:ascii="Microsoft YaHei" w:eastAsia="Microsoft YaHei" w:hAnsi="Microsoft YaHei" w:cs="Microsoft YaHei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of</w:t>
            </w:r>
            <w:r>
              <w:rPr>
                <w:rFonts w:ascii="Microsoft YaHei" w:eastAsia="Microsoft YaHei" w:hAnsi="Microsoft YaHei" w:cs="Microsoft YaHei" w:hint="eastAs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 xml:space="preserve">system dead space and system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compliance and responds</w:t>
            </w:r>
            <w:r>
              <w:rPr>
                <w:rFonts w:ascii="Microsoft YaHei" w:eastAsia="Microsoft YaHei" w:hAnsi="Microsoft YaHei" w:cs="Microsoft YaHei" w:hint="eastAs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rapidly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;</w:t>
            </w:r>
          </w:p>
          <w:p w:rsidR="00072E8D" w:rsidRDefault="00132AC2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0"/>
              <w:ind w:right="307"/>
              <w:jc w:val="both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 xml:space="preserve">Proportional valve with high speed and high precision sends air quickly and accurately, which improves the man-machine synchronization, reduces the consumption of additional respiratory power, provides patients with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comfortable excellent</w:t>
            </w:r>
            <w:r>
              <w:rPr>
                <w:rFonts w:ascii="Microsoft YaHei" w:eastAsia="Microsoft YaHei" w:hAnsi="Microsoft YaHei" w:cs="Microsoft YaHei" w:hint="eastAs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breathing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;</w:t>
            </w:r>
          </w:p>
          <w:p w:rsidR="00072E8D" w:rsidRDefault="00132AC2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0"/>
              <w:jc w:val="both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Intelligent identification of off tube, blocking and other conditions ensures the safety of</w:t>
            </w:r>
            <w:r>
              <w:rPr>
                <w:rFonts w:ascii="Microsoft YaHei" w:eastAsia="Microsoft YaHei" w:hAnsi="Microsoft YaHei" w:cs="Microsoft YaHei" w:hint="eastAsia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patients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;</w:t>
            </w:r>
          </w:p>
          <w:p w:rsidR="00072E8D" w:rsidRDefault="00132AC2">
            <w:pPr>
              <w:numPr>
                <w:ilvl w:val="0"/>
                <w:numId w:val="1"/>
              </w:numPr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Optional: humidifier, medical air</w:t>
            </w:r>
            <w:r>
              <w:rPr>
                <w:rFonts w:ascii="Microsoft YaHei" w:eastAsia="Microsoft YaHei" w:hAnsi="Microsoft YaHei" w:cs="Microsoft YaHei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compressor.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ind w:left="73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Tidal Volume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7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20ml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～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2000ml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spacing w:before="67"/>
              <w:ind w:left="71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Volume/min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7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≥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18 L/min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ind w:left="73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 xml:space="preserve">Breath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ime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0.3-6s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ind w:left="75" w:right="61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Pressure control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7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1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—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50cmH2O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ind w:left="75" w:right="61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I:E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7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10:1-1:10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ind w:left="75" w:right="61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Breathing Rate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7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0.5-100Times/min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spacing w:before="67"/>
              <w:ind w:left="75" w:right="60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Inspiratory trigger mode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67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Pressure &amp; Flow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ind w:left="75" w:right="60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Inspiratory pressure trigger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6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-20 cmH2O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～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0 cmH2O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ind w:left="69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Flow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 xml:space="preserve"> T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rigger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6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0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～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20L/min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spacing w:before="67"/>
              <w:ind w:left="75" w:right="57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Maximum safe pressure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7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＜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125 cmH2O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ind w:left="75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Inspiratory rise time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6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0.1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—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2.0s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ind w:left="75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 xml:space="preserve">Sign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ressure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6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0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～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25 cmH2O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spacing w:before="67"/>
              <w:ind w:left="75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 xml:space="preserve">Pressure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R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ange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57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10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～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60 cmH2O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ind w:left="74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PEEP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0-25cmH2O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spacing w:before="1"/>
              <w:ind w:left="75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Asphyxiation backup ventilation time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114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10-60s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spacing w:before="136"/>
              <w:ind w:left="75" w:right="60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 xml:space="preserve">Oxygen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adjusting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 xml:space="preserve"> range</w:t>
            </w:r>
          </w:p>
        </w:tc>
        <w:tc>
          <w:tcPr>
            <w:tcW w:w="7407" w:type="dxa"/>
            <w:vAlign w:val="center"/>
          </w:tcPr>
          <w:p w:rsidR="00072E8D" w:rsidRDefault="00132AC2">
            <w:pPr>
              <w:pStyle w:val="TableParagraph"/>
              <w:spacing w:before="136"/>
              <w:ind w:left="91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21%-100%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ind w:left="73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Monitoring Function</w:t>
            </w:r>
          </w:p>
        </w:tc>
        <w:tc>
          <w:tcPr>
            <w:tcW w:w="7407" w:type="dxa"/>
            <w:vAlign w:val="center"/>
          </w:tcPr>
          <w:p w:rsidR="00072E8D" w:rsidRDefault="00132AC2">
            <w:pPr>
              <w:pStyle w:val="TableParagraph"/>
              <w:spacing w:before="60"/>
              <w:ind w:right="1175"/>
              <w:jc w:val="both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position w:val="1"/>
                <w:sz w:val="18"/>
                <w:szCs w:val="18"/>
              </w:rPr>
              <w:t>VT, MV, FREQ, FiO</w:t>
            </w:r>
            <w:r>
              <w:rPr>
                <w:rFonts w:ascii="Microsoft YaHei" w:eastAsia="Microsoft YaHei" w:hAnsi="Microsoft YaHei" w:cs="Microsoft YaHei" w:hint="eastAsia"/>
                <w:position w:val="1"/>
                <w:sz w:val="18"/>
                <w:szCs w:val="18"/>
                <w:vertAlign w:val="subscript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position w:val="1"/>
                <w:sz w:val="18"/>
                <w:szCs w:val="18"/>
              </w:rPr>
              <w:t>%, Paw, CL , Flow[L/min], Pa[</w:t>
            </w:r>
            <w:proofErr w:type="spellStart"/>
            <w:r>
              <w:rPr>
                <w:rFonts w:ascii="Microsoft YaHei" w:eastAsia="Microsoft YaHei" w:hAnsi="Microsoft YaHei" w:cs="Microsoft YaHei" w:hint="eastAsia"/>
                <w:position w:val="1"/>
                <w:sz w:val="18"/>
                <w:szCs w:val="18"/>
              </w:rPr>
              <w:t>kPa</w:t>
            </w:r>
            <w:proofErr w:type="spellEnd"/>
            <w:r>
              <w:rPr>
                <w:rFonts w:ascii="Microsoft YaHei" w:eastAsia="Microsoft YaHei" w:hAnsi="Microsoft YaHei" w:cs="Microsoft YaHei" w:hint="eastAsia"/>
                <w:position w:val="1"/>
                <w:sz w:val="18"/>
                <w:szCs w:val="18"/>
              </w:rPr>
              <w:t>]</w:t>
            </w:r>
            <w:r>
              <w:rPr>
                <w:rFonts w:ascii="Microsoft YaHei" w:eastAsia="Microsoft YaHei" w:hAnsi="Microsoft YaHei" w:cs="Microsoft YaHei" w:hint="eastAsia"/>
                <w:position w:val="1"/>
                <w:sz w:val="18"/>
                <w:szCs w:val="18"/>
              </w:rPr>
              <w:t>，</w:t>
            </w:r>
            <w:r>
              <w:rPr>
                <w:rFonts w:ascii="Microsoft YaHei" w:eastAsia="Microsoft YaHei" w:hAnsi="Microsoft YaHei" w:cs="Microsoft YaHei" w:hint="eastAsia"/>
                <w:position w:val="1"/>
                <w:sz w:val="18"/>
                <w:szCs w:val="18"/>
                <w:lang w:eastAsia="zh-CN"/>
              </w:rPr>
              <w:t>w</w:t>
            </w:r>
            <w:r>
              <w:rPr>
                <w:rFonts w:ascii="Microsoft YaHei" w:eastAsia="Microsoft YaHei" w:hAnsi="Microsoft YaHei" w:cs="Microsoft YaHei" w:hint="eastAsia"/>
                <w:position w:val="1"/>
                <w:sz w:val="18"/>
                <w:szCs w:val="18"/>
              </w:rPr>
              <w:t>aveform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072E8D">
            <w:pPr>
              <w:pStyle w:val="TableParagraph"/>
              <w:spacing w:before="0"/>
              <w:ind w:left="0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</w:p>
          <w:p w:rsidR="00072E8D" w:rsidRDefault="00072E8D">
            <w:pPr>
              <w:pStyle w:val="TableParagraph"/>
              <w:spacing w:before="0"/>
              <w:ind w:left="0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</w:p>
          <w:p w:rsidR="00072E8D" w:rsidRDefault="00072E8D">
            <w:pPr>
              <w:pStyle w:val="TableParagraph"/>
              <w:spacing w:before="0"/>
              <w:ind w:left="0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</w:p>
          <w:p w:rsidR="00072E8D" w:rsidRDefault="00072E8D">
            <w:pPr>
              <w:pStyle w:val="TableParagraph"/>
              <w:spacing w:before="0"/>
              <w:ind w:left="0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</w:p>
          <w:p w:rsidR="00072E8D" w:rsidRDefault="00072E8D">
            <w:pPr>
              <w:pStyle w:val="TableParagraph"/>
              <w:spacing w:before="11"/>
              <w:ind w:left="0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</w:p>
          <w:p w:rsidR="00072E8D" w:rsidRDefault="00132AC2">
            <w:pPr>
              <w:pStyle w:val="TableParagraph"/>
              <w:spacing w:before="0"/>
              <w:ind w:left="73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Alarm Function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</w:tabs>
              <w:spacing w:before="69"/>
              <w:ind w:hanging="421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lastRenderedPageBreak/>
              <w:t xml:space="preserve">Upper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and lower airway pressure limit</w:t>
            </w:r>
            <w:r>
              <w:rPr>
                <w:rFonts w:ascii="Microsoft YaHei" w:eastAsia="Microsoft YaHei" w:hAnsi="Microsoft YaHei" w:cs="Microsoft YaHei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alarm</w:t>
            </w:r>
          </w:p>
          <w:p w:rsidR="00072E8D" w:rsidRDefault="00132AC2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</w:tabs>
              <w:spacing w:before="105"/>
              <w:ind w:hanging="421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Gas pressure shortage alarm</w:t>
            </w:r>
          </w:p>
          <w:p w:rsidR="00072E8D" w:rsidRDefault="00132AC2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</w:tabs>
              <w:spacing w:before="105"/>
              <w:ind w:hanging="421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lastRenderedPageBreak/>
              <w:t>Upper and lower minute ventilation volume limit</w:t>
            </w:r>
            <w:r>
              <w:rPr>
                <w:rFonts w:ascii="Microsoft YaHei" w:eastAsia="Microsoft YaHei" w:hAnsi="Microsoft YaHei" w:cs="Microsoft YaHei" w:hint="eastAs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alarm</w:t>
            </w:r>
          </w:p>
          <w:p w:rsidR="00072E8D" w:rsidRDefault="00132AC2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</w:tabs>
              <w:spacing w:before="105"/>
              <w:ind w:hanging="421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Upper and lower tidal volume limit</w:t>
            </w:r>
            <w:r>
              <w:rPr>
                <w:rFonts w:ascii="Microsoft YaHei" w:eastAsia="Microsoft YaHei" w:hAnsi="Microsoft YaHei" w:cs="Microsoft YaHei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alarm</w:t>
            </w:r>
          </w:p>
          <w:p w:rsidR="00072E8D" w:rsidRDefault="00132AC2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</w:tabs>
              <w:spacing w:before="105"/>
              <w:ind w:hanging="421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Respiratory rate</w:t>
            </w:r>
            <w:r>
              <w:rPr>
                <w:rFonts w:ascii="Microsoft YaHei" w:eastAsia="Microsoft YaHei" w:hAnsi="Microsoft YaHei" w:cs="Microsoft YaHei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alarm</w:t>
            </w:r>
          </w:p>
          <w:p w:rsidR="00072E8D" w:rsidRDefault="00132AC2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</w:tabs>
              <w:spacing w:before="105"/>
              <w:ind w:hanging="421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Oxygen concentration</w:t>
            </w:r>
            <w:r>
              <w:rPr>
                <w:rFonts w:ascii="Microsoft YaHei" w:eastAsia="Microsoft YaHei" w:hAnsi="Microsoft YaHei" w:cs="Microsoft YaHei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alarm</w:t>
            </w:r>
          </w:p>
          <w:p w:rsidR="00072E8D" w:rsidRDefault="00132AC2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</w:tabs>
              <w:spacing w:before="105"/>
              <w:ind w:hanging="421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Low battery</w:t>
            </w:r>
            <w:r>
              <w:rPr>
                <w:rFonts w:ascii="Microsoft YaHei" w:eastAsia="Microsoft YaHei" w:hAnsi="Microsoft YaHei" w:cs="Microsoft YaHei" w:hint="eastAs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alarm</w:t>
            </w:r>
          </w:p>
          <w:p w:rsidR="00072E8D" w:rsidRDefault="00132AC2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</w:tabs>
              <w:spacing w:before="105"/>
              <w:ind w:hanging="421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Asphyxiation</w:t>
            </w:r>
            <w:r>
              <w:rPr>
                <w:rFonts w:ascii="Microsoft YaHei" w:eastAsia="Microsoft YaHei" w:hAnsi="Microsoft YaHei" w:cs="Microsoft YaHei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alarm</w:t>
            </w:r>
          </w:p>
        </w:tc>
      </w:tr>
      <w:tr w:rsidR="00072E8D">
        <w:trPr>
          <w:trHeight w:val="340"/>
        </w:trPr>
        <w:tc>
          <w:tcPr>
            <w:tcW w:w="2823" w:type="dxa"/>
          </w:tcPr>
          <w:p w:rsidR="00072E8D" w:rsidRDefault="00132AC2">
            <w:pPr>
              <w:pStyle w:val="TableParagraph"/>
              <w:spacing w:before="67"/>
              <w:ind w:left="71" w:right="62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lastRenderedPageBreak/>
              <w:t>Battery</w:t>
            </w:r>
          </w:p>
        </w:tc>
        <w:tc>
          <w:tcPr>
            <w:tcW w:w="7407" w:type="dxa"/>
          </w:tcPr>
          <w:p w:rsidR="00072E8D" w:rsidRDefault="00132AC2">
            <w:pPr>
              <w:pStyle w:val="TableParagraph"/>
              <w:spacing w:before="67"/>
              <w:ind w:left="14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Built-in high capacity battery can ensure the machine working continuously not less than 8 hours</w:t>
            </w:r>
          </w:p>
        </w:tc>
      </w:tr>
    </w:tbl>
    <w:p w:rsidR="00072E8D" w:rsidRDefault="00072E8D">
      <w:pPr>
        <w:rPr>
          <w:sz w:val="20"/>
        </w:rPr>
      </w:pPr>
    </w:p>
    <w:p w:rsidR="00072E8D" w:rsidRDefault="00072E8D"/>
    <w:sectPr w:rsidR="00072E8D">
      <w:headerReference w:type="default" r:id="rId10"/>
      <w:pgSz w:w="11910" w:h="16840"/>
      <w:pgMar w:top="1202" w:right="580" w:bottom="278" w:left="578" w:header="883" w:footer="0" w:gutter="0"/>
      <w:cols w:space="720" w:equalWidth="0">
        <w:col w:w="107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C2" w:rsidRDefault="00132AC2">
      <w:r>
        <w:separator/>
      </w:r>
    </w:p>
  </w:endnote>
  <w:endnote w:type="continuationSeparator" w:id="0">
    <w:p w:rsidR="00132AC2" w:rsidRDefault="0013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C2" w:rsidRDefault="00132AC2">
      <w:r>
        <w:separator/>
      </w:r>
    </w:p>
  </w:footnote>
  <w:footnote w:type="continuationSeparator" w:id="0">
    <w:p w:rsidR="00132AC2" w:rsidRDefault="0013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8D" w:rsidRDefault="00132AC2">
    <w:pPr>
      <w:spacing w:line="14" w:lineRule="auto"/>
      <w:rPr>
        <w:sz w:val="20"/>
      </w:rPr>
    </w:pP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418624" behindDoc="1" locked="0" layoutInCell="1" allowOverlap="1">
              <wp:simplePos x="0" y="0"/>
              <wp:positionH relativeFrom="page">
                <wp:posOffset>1892300</wp:posOffset>
              </wp:positionH>
              <wp:positionV relativeFrom="page">
                <wp:posOffset>548005</wp:posOffset>
              </wp:positionV>
              <wp:extent cx="3573780" cy="236855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378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2E8D" w:rsidRDefault="00072E8D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149pt;margin-top:43.15pt;height:18.65pt;width:281.4pt;mso-position-horizontal-relative:page;mso-position-vertical-relative:page;z-index:-251897856;mso-width-relative:page;mso-height-relative:page;" filled="f" stroked="f" coordsize="21600,21600" o:gfxdata="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23lnmNkAAAAKAQAADwAAAAAA&#10;AAABACAAAAAiAAAAZHJzL2Rvd25yZXYueG1sUEsBAhQAFAAAAAgAh07iQNEEhnmgAQAAJAMAAA4A&#10;AAAAAAAAAQAgAAAAK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numFmt w:val="bullet"/>
      <w:lvlText w:val=""/>
      <w:lvlJc w:val="left"/>
      <w:pPr>
        <w:ind w:left="434" w:hanging="42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152" w:hanging="42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864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6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89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01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713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26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38" w:hanging="420"/>
      </w:pPr>
      <w:rPr>
        <w:rFonts w:hint="default"/>
        <w:lang w:val="en-US" w:eastAsia="en-US" w:bidi="en-US"/>
      </w:rPr>
    </w:lvl>
  </w:abstractNum>
  <w:abstractNum w:abstractNumId="1">
    <w:nsid w:val="6C366C29"/>
    <w:multiLevelType w:val="singleLevel"/>
    <w:tmpl w:val="6C366C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8D"/>
    <w:rsid w:val="00072E8D"/>
    <w:rsid w:val="00132AC2"/>
    <w:rsid w:val="0055405A"/>
    <w:rsid w:val="007D7145"/>
    <w:rsid w:val="08AF49BF"/>
    <w:rsid w:val="0BF02D7D"/>
    <w:rsid w:val="0F0179F8"/>
    <w:rsid w:val="156941E1"/>
    <w:rsid w:val="17E62B67"/>
    <w:rsid w:val="1B3A24FA"/>
    <w:rsid w:val="1ED61167"/>
    <w:rsid w:val="25301A06"/>
    <w:rsid w:val="29826ECE"/>
    <w:rsid w:val="31E93F57"/>
    <w:rsid w:val="32786818"/>
    <w:rsid w:val="33A02533"/>
    <w:rsid w:val="36A94374"/>
    <w:rsid w:val="394D10FB"/>
    <w:rsid w:val="3B335662"/>
    <w:rsid w:val="49A45FB6"/>
    <w:rsid w:val="4F272641"/>
    <w:rsid w:val="4FD27647"/>
    <w:rsid w:val="59853C27"/>
    <w:rsid w:val="5B7F3DCF"/>
    <w:rsid w:val="5CD7790B"/>
    <w:rsid w:val="61681A6A"/>
    <w:rsid w:val="6D546893"/>
    <w:rsid w:val="746935C5"/>
    <w:rsid w:val="770B6D75"/>
    <w:rsid w:val="790C5D95"/>
    <w:rsid w:val="79590346"/>
    <w:rsid w:val="79E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ind w:left="434"/>
    </w:pPr>
  </w:style>
  <w:style w:type="paragraph" w:styleId="BalloonText">
    <w:name w:val="Balloon Text"/>
    <w:basedOn w:val="Normal"/>
    <w:link w:val="BalloonTextChar"/>
    <w:rsid w:val="00554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05A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ind w:left="434"/>
    </w:pPr>
  </w:style>
  <w:style w:type="paragraph" w:styleId="BalloonText">
    <w:name w:val="Balloon Text"/>
    <w:basedOn w:val="Normal"/>
    <w:link w:val="BalloonTextChar"/>
    <w:rsid w:val="00554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05A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1291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</cp:revision>
  <dcterms:created xsi:type="dcterms:W3CDTF">2019-05-25T02:32:00Z</dcterms:created>
  <dcterms:modified xsi:type="dcterms:W3CDTF">2020-04-01T17:48:00Z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2019-05-25T00:00:00Z</vt:filetime>
  </property>
  <property fmtid="{D5CDD505-2E9C-101B-9397-08002B2CF9AE}" pid="5" name="KSOProductBuildVer">
    <vt:lpwstr>2052-11.1.0.8661</vt:lpwstr>
  </property>
</Properties>
</file>